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03" w:rsidRPr="00E37703" w:rsidRDefault="00E37703" w:rsidP="00E377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W w:w="963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7"/>
        <w:gridCol w:w="6413"/>
      </w:tblGrid>
      <w:tr w:rsidR="00E37703" w:rsidRPr="00E37703" w:rsidTr="00E37703">
        <w:trPr>
          <w:tblCellSpacing w:w="22" w:type="dxa"/>
        </w:trPr>
        <w:tc>
          <w:tcPr>
            <w:tcW w:w="9450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119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770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ПРЯМАЯ ГАРАНТИЯ ДЛЯ СУБЪЕКТОВ МСП НА НЕОТЛОЖНЫЕ НУЖДЫ ДЛЯ ПОДДЕРЖКИ И СОХРАНЕНИЯ ЗАНЯТОСТИ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Вид гарантии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Безотзывная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Целевой сегмент Заемщика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Субъекты МСП, соответствующие критериям, определенным в постановлении Правительства Российской Федерации от 2 апреля 2020 г. № 422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</w:t>
            </w:r>
            <w:proofErr w:type="gramEnd"/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Срок действия гарантии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По решению Коллегиального органа Корпорации, но не более срока предоставления кредитов, определенных в постановлении Правительства Российской Федерации от 2 апреля 2020 г. № 422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занятости», плюс 120</w:t>
            </w:r>
            <w:proofErr w:type="gramEnd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По решению Коллегиального органа Корпорации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Валюта гарантии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Валюта Кредита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 xml:space="preserve">0% </w:t>
            </w:r>
            <w:proofErr w:type="gramStart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годовых</w:t>
            </w:r>
            <w:proofErr w:type="gramEnd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 xml:space="preserve"> от суммы гарантии за весь срок действия гарантии (вне зависимости от суммы гарантии)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Целевое назначение гарантии</w:t>
            </w:r>
          </w:p>
          <w:p w:rsidR="00E37703" w:rsidRPr="00E37703" w:rsidRDefault="00E37703" w:rsidP="00E37703">
            <w:pPr>
              <w:spacing w:before="100" w:beforeAutospacing="1"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Times New Roman" w:eastAsia="Times New Roman" w:hAnsi="Times New Roman" w:cs="Times New Roman"/>
                <w:b/>
                <w:bCs/>
                <w:color w:val="373E48"/>
                <w:sz w:val="24"/>
                <w:szCs w:val="24"/>
                <w:lang w:eastAsia="ru-RU"/>
              </w:rPr>
              <w:t> </w:t>
            </w:r>
          </w:p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Times New Roman" w:eastAsia="Times New Roman" w:hAnsi="Times New Roman" w:cs="Times New Roman"/>
                <w:b/>
                <w:bCs/>
                <w:color w:val="373E4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Обеспечение исполнения части обязательств Заемщиков (субъектов малого и среднего предпринимательства) по </w:t>
            </w: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u w:val="single"/>
                <w:lang w:eastAsia="ru-RU"/>
              </w:rPr>
              <w:t>заключаемым</w:t>
            </w: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 с Банками Кредитным договорам и иным договорам кредитного характера.</w:t>
            </w:r>
          </w:p>
          <w:p w:rsidR="00E37703" w:rsidRPr="00E37703" w:rsidRDefault="00E37703" w:rsidP="00E37703">
            <w:pPr>
              <w:spacing w:before="100" w:beforeAutospacing="1"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Кредит должен быть направлен на цели, определенные постановлением Правительства Российской Федерации от 2 апреля 2020г. № 422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</w:t>
            </w:r>
            <w:proofErr w:type="gramEnd"/>
          </w:p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Times New Roman" w:eastAsia="Times New Roman" w:hAnsi="Times New Roman" w:cs="Times New Roman"/>
                <w:color w:val="373E4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Срок действия гарантии начинается с момента ее выдачи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 xml:space="preserve">По истечении 120 дней </w:t>
            </w:r>
            <w:proofErr w:type="gramStart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 xml:space="preserve"> кредитного обязательства, определяемой в соответствии с положениями Кредитного договора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Корпорация приобретает право требовать от Заемщика в порядке регресса возмещения сумм, уплаченных Банку по Независимой гарантии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Требования к Принципалу/Заемщику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Субъекты МСП, соответствующие критериям, определенным в постановлении Правительства Российской Федерации от 2 апреля 2020 г. № 422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</w:t>
            </w:r>
            <w:proofErr w:type="gramEnd"/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Требования к Бенефициару/Банку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 xml:space="preserve">Аккредитованный Корпорацией на основании внутренних документов Корпорации, определяющих процедуру такой аккредитации, Банк, заключивший с Корпорацией соглашение о сотрудничестве и </w:t>
            </w:r>
            <w:proofErr w:type="gramStart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соглашение</w:t>
            </w:r>
            <w:proofErr w:type="gramEnd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 xml:space="preserve"> об участии в Программе стимулирования кредитования субъектов малого и среднего предпринимательства, а также соответствующий следующему требованию:  наличие кредитного рейтинга  по состоянию на 01 марта 2020 г. ниже уровня «А-(RU)» по национальной рейтинговой шкале для Российской Федерации и (или) «</w:t>
            </w:r>
            <w:proofErr w:type="spellStart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ruA</w:t>
            </w:r>
            <w:proofErr w:type="spellEnd"/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-» по национальной рейтинговой шкале для Российской Федерации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Вид и объем ответственности перед Банком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Банк вправе обратиться к Корпорации с требованием о совершении платежа по гарантии,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Гарантия обеспечивает исполнение обязательств Заемщика в пределах 75% от суммы кредитных требований Банка к Заемщику.</w:t>
            </w:r>
          </w:p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В пределах указанного лимита Банк получает возмещение пропорционально доле не исполненных Заемщиком обязательств по Кредитному договору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Гарантийный случай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 xml:space="preserve"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</w:t>
            </w: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lastRenderedPageBreak/>
              <w:t>дней, при условии целевого использования Кредита</w:t>
            </w:r>
          </w:p>
        </w:tc>
      </w:tr>
      <w:tr w:rsidR="00E37703" w:rsidRPr="00E37703" w:rsidTr="00E37703">
        <w:trPr>
          <w:tblCellSpacing w:w="22" w:type="dxa"/>
        </w:trPr>
        <w:tc>
          <w:tcPr>
            <w:tcW w:w="312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lastRenderedPageBreak/>
              <w:t>Дополнительные требования</w:t>
            </w:r>
          </w:p>
        </w:tc>
        <w:tc>
          <w:tcPr>
            <w:tcW w:w="62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7703" w:rsidRPr="00E37703" w:rsidRDefault="00E37703" w:rsidP="00E37703">
            <w:pPr>
              <w:spacing w:before="100" w:beforeAutospacing="1"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Рассмотрение заявок Заемщиков происходит по технологии работы с клиентами «Специальный режим рассмотрения «Антикризисные меры» независимо от суммы гарантии.</w:t>
            </w:r>
          </w:p>
          <w:p w:rsidR="00E37703" w:rsidRPr="00E37703" w:rsidRDefault="00E37703" w:rsidP="00E37703">
            <w:pPr>
              <w:spacing w:before="100" w:beforeAutospacing="1" w:after="30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Times New Roman" w:eastAsia="Times New Roman" w:hAnsi="Times New Roman" w:cs="Times New Roman"/>
                <w:color w:val="373E48"/>
                <w:sz w:val="24"/>
                <w:szCs w:val="24"/>
                <w:lang w:eastAsia="ru-RU"/>
              </w:rPr>
              <w:t xml:space="preserve">  </w:t>
            </w: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Финансовое положение и качество обслуживания долга должно оцениваться не хуже «среднего».</w:t>
            </w:r>
          </w:p>
          <w:p w:rsidR="00E37703" w:rsidRPr="00E37703" w:rsidRDefault="00E37703" w:rsidP="00E37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03">
              <w:rPr>
                <w:rFonts w:ascii="MyriadPro-Regular" w:eastAsia="Times New Roman" w:hAnsi="MyriadPro-Regular" w:cs="Times New Roman"/>
                <w:color w:val="373E48"/>
                <w:sz w:val="24"/>
                <w:szCs w:val="24"/>
                <w:lang w:eastAsia="ru-RU"/>
              </w:rPr>
              <w:t>Перечень документов Заемщика для рассмотрения вопроса о предоставлении Независимой гарантии, направляемых Банком в Корпорацию, определяется в соответствии с перечнем, установленным в приложении № 8.4 к Правилам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      </w:r>
          </w:p>
        </w:tc>
      </w:tr>
    </w:tbl>
    <w:p w:rsidR="00E37703" w:rsidRPr="00E37703" w:rsidRDefault="00E37703" w:rsidP="00E377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43C67" w:rsidRPr="00E37703" w:rsidRDefault="00143C67">
      <w:pPr>
        <w:rPr>
          <w:lang w:val="de-DE"/>
        </w:rPr>
      </w:pPr>
    </w:p>
    <w:sectPr w:rsidR="00143C67" w:rsidRPr="00E37703" w:rsidSect="0014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703"/>
    <w:rsid w:val="00143C67"/>
    <w:rsid w:val="00E3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67"/>
  </w:style>
  <w:style w:type="paragraph" w:styleId="2">
    <w:name w:val="heading 2"/>
    <w:basedOn w:val="a"/>
    <w:link w:val="20"/>
    <w:uiPriority w:val="9"/>
    <w:qFormat/>
    <w:rsid w:val="00E37703"/>
    <w:pPr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77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2021-03-24T16:30:00Z</dcterms:created>
  <dcterms:modified xsi:type="dcterms:W3CDTF">2021-03-24T16:31:00Z</dcterms:modified>
</cp:coreProperties>
</file>